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32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0"/>
        <w:gridCol w:w="1030"/>
        <w:gridCol w:w="1029"/>
      </w:tblGrid>
      <w:tr w:rsidR="00C70C40" w:rsidRPr="008F09EE">
        <w:trPr>
          <w:trHeight w:val="782"/>
          <w:tblCellSpacing w:w="32" w:type="dxa"/>
        </w:trPr>
        <w:tc>
          <w:tcPr>
            <w:tcW w:w="933" w:type="dxa"/>
            <w:tcBorders>
              <w:right w:val="nil"/>
            </w:tcBorders>
            <w:shd w:val="clear" w:color="auto" w:fill="00539B"/>
          </w:tcPr>
          <w:p w:rsidR="00C70C40" w:rsidRPr="008F09EE" w:rsidRDefault="00C70C40" w:rsidP="00A30354">
            <w:pPr>
              <w:pStyle w:val="TableParagraph"/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FCE444"/>
          </w:tcPr>
          <w:p w:rsidR="00C70C40" w:rsidRPr="008F09EE" w:rsidRDefault="00C70C40" w:rsidP="00A30354">
            <w:pPr>
              <w:pStyle w:val="TableParagraph"/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00B1B0"/>
          </w:tcPr>
          <w:p w:rsidR="00C70C40" w:rsidRPr="008F09EE" w:rsidRDefault="00C70C40" w:rsidP="00A30354">
            <w:pPr>
              <w:pStyle w:val="TableParagraph"/>
            </w:pPr>
          </w:p>
        </w:tc>
        <w:tc>
          <w:tcPr>
            <w:tcW w:w="933" w:type="dxa"/>
            <w:tcBorders>
              <w:left w:val="nil"/>
            </w:tcBorders>
            <w:shd w:val="clear" w:color="auto" w:fill="FF671B"/>
          </w:tcPr>
          <w:p w:rsidR="00C70C40" w:rsidRPr="008F09EE" w:rsidRDefault="00C70C40" w:rsidP="00A30354">
            <w:pPr>
              <w:pStyle w:val="TableParagraph"/>
            </w:pPr>
          </w:p>
        </w:tc>
      </w:tr>
    </w:tbl>
    <w:p w:rsidR="00C70C40" w:rsidRPr="008F09EE" w:rsidRDefault="001B6B89" w:rsidP="00A30354">
      <w:pPr>
        <w:tabs>
          <w:tab w:val="left" w:pos="10679"/>
        </w:tabs>
        <w:spacing w:before="124" w:line="264" w:lineRule="auto"/>
        <w:ind w:left="120" w:right="118"/>
        <w:rPr>
          <w:rFonts w:ascii="Univers LT Std" w:hAnsi="Univers LT Std"/>
          <w:b/>
          <w:sz w:val="32"/>
        </w:rPr>
      </w:pPr>
      <w:r>
        <w:rPr>
          <w:rFonts w:ascii="Univers LT Std" w:hAnsi="Univers LT Std"/>
          <w:b/>
          <w:color w:val="00539B"/>
          <w:sz w:val="32"/>
        </w:rPr>
        <w:t xml:space="preserve">Consulta de seguimiento: seguimiento del bebé de alto riesgo </w:t>
      </w:r>
      <w:r w:rsidRPr="00D738E7">
        <w:rPr>
          <w:rFonts w:ascii="Univers LT Std" w:hAnsi="Univers LT Std"/>
          <w:b/>
          <w:color w:val="00539B"/>
          <w:sz w:val="32"/>
          <w:u w:val="single" w:color="B2CF3F"/>
        </w:rPr>
        <w:t>(seguimiento</w:t>
      </w:r>
      <w:r w:rsidR="00BA111E">
        <w:rPr>
          <w:rFonts w:ascii="Univers LT Std" w:hAnsi="Univers LT Std"/>
          <w:b/>
          <w:color w:val="00539B"/>
          <w:sz w:val="32"/>
          <w:u w:val="single" w:color="B2CF3F"/>
        </w:rPr>
        <w:t xml:space="preserve"> </w:t>
      </w:r>
      <w:r w:rsidRPr="001217A5">
        <w:rPr>
          <w:rFonts w:ascii="Univers LT Std" w:hAnsi="Univers LT Std"/>
          <w:b/>
          <w:color w:val="00539B"/>
          <w:sz w:val="32"/>
          <w:u w:val="single" w:color="B2CF3F"/>
        </w:rPr>
        <w:t xml:space="preserve">del </w:t>
      </w:r>
      <w:r w:rsidRPr="008F09EE">
        <w:rPr>
          <w:rFonts w:ascii="Univers LT Std" w:hAnsi="Univers LT Std"/>
          <w:b/>
          <w:color w:val="00539B"/>
          <w:sz w:val="32"/>
          <w:u w:val="single" w:color="B2CF3F"/>
        </w:rPr>
        <w:t xml:space="preserve">desarrollo </w:t>
      </w:r>
      <w:proofErr w:type="spellStart"/>
      <w:r w:rsidRPr="008F09EE">
        <w:rPr>
          <w:rFonts w:ascii="Univers LT Std" w:hAnsi="Univers LT Std"/>
          <w:b/>
          <w:color w:val="00539B"/>
          <w:sz w:val="32"/>
          <w:u w:val="single" w:color="B2CF3F"/>
        </w:rPr>
        <w:t>neurocerebral</w:t>
      </w:r>
      <w:proofErr w:type="spellEnd"/>
      <w:r w:rsidRPr="008F09EE">
        <w:rPr>
          <w:rFonts w:ascii="Univers LT Std" w:hAnsi="Univers LT Std"/>
          <w:b/>
          <w:color w:val="00539B"/>
          <w:sz w:val="32"/>
          <w:u w:val="single" w:color="B2CF3F"/>
        </w:rPr>
        <w:t>)</w:t>
      </w:r>
      <w:r w:rsidRPr="008F09EE">
        <w:rPr>
          <w:rFonts w:ascii="Univers LT Std" w:hAnsi="Univers LT Std"/>
          <w:b/>
          <w:color w:val="00539B"/>
          <w:sz w:val="32"/>
          <w:u w:val="single" w:color="B2CF3F"/>
        </w:rPr>
        <w:tab/>
      </w:r>
    </w:p>
    <w:p w:rsidR="00C70C40" w:rsidRPr="008F09EE" w:rsidRDefault="001B6B89" w:rsidP="00A30354">
      <w:pPr>
        <w:pStyle w:val="BodyText"/>
        <w:spacing w:before="73" w:line="232" w:lineRule="auto"/>
        <w:ind w:left="120" w:right="11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¡El equipo de la unidad de cuidados intensivos neonatales (UCIN) celebra junto a usted el regreso a su hogar con el bebé! Dadas la complicaciones del bebé en el parto, corre más riesgo de sufrir ciertos retrasos después del alta. Por eso es importante que lleve al bebé a las consultas de seguimiento para garantizar que tenga el mejor estado de salud.</w:t>
      </w:r>
    </w:p>
    <w:p w:rsidR="00C70C40" w:rsidRPr="008F09EE" w:rsidRDefault="001B6B89" w:rsidP="00A30354">
      <w:pPr>
        <w:pStyle w:val="Heading1"/>
        <w:spacing w:before="94" w:line="26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debo llevar a mi bebé a esta consulta?</w:t>
      </w:r>
    </w:p>
    <w:p w:rsidR="00C70C40" w:rsidRPr="008F09EE" w:rsidRDefault="001B6B89" w:rsidP="00A30354">
      <w:pPr>
        <w:pStyle w:val="ListParagraph"/>
        <w:numPr>
          <w:ilvl w:val="0"/>
          <w:numId w:val="2"/>
        </w:numPr>
        <w:tabs>
          <w:tab w:val="left" w:pos="421"/>
        </w:tabs>
        <w:spacing w:before="16" w:line="218" w:lineRule="auto"/>
        <w:ind w:right="119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bebés que nacen prematuros, con bajo peso u otras complicaciones al nacer, corren más riesgo de sufrir retrasos en el desarrollo y el crecimiento.</w:t>
      </w:r>
    </w:p>
    <w:p w:rsidR="00C70C40" w:rsidRPr="008F09EE" w:rsidRDefault="00BA111E" w:rsidP="00A30354">
      <w:pPr>
        <w:pStyle w:val="ListParagraph"/>
        <w:numPr>
          <w:ilvl w:val="0"/>
          <w:numId w:val="2"/>
        </w:numPr>
        <w:tabs>
          <w:tab w:val="left" w:pos="421"/>
        </w:tabs>
        <w:spacing w:before="18" w:line="218" w:lineRule="auto"/>
        <w:ind w:right="116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los primeros 3 </w:t>
      </w:r>
      <w:r w:rsidR="001B6B89">
        <w:rPr>
          <w:rFonts w:ascii="Times New Roman" w:hAnsi="Times New Roman" w:cs="Times New Roman"/>
        </w:rPr>
        <w:t>años de vida de su hijo, le harán varios exámenes especializados del desarrollo neurocerebral en las consultas de seguimiento de bebés de alto riesgo (HRIF, por sus siglas en inglés).</w:t>
      </w:r>
    </w:p>
    <w:p w:rsidR="00C70C40" w:rsidRPr="008F09EE" w:rsidRDefault="001B6B89" w:rsidP="00A30354">
      <w:pPr>
        <w:pStyle w:val="ListParagraph"/>
        <w:numPr>
          <w:ilvl w:val="0"/>
          <w:numId w:val="2"/>
        </w:numPr>
        <w:tabs>
          <w:tab w:val="left" w:pos="42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equipo de seguimiento del bebé de alto riesgo (HRIF) utiliza juegos para comprobar la calidad del desarrollo de su hijo en las siguientes actividades:</w:t>
      </w:r>
    </w:p>
    <w:p w:rsidR="00C70C40" w:rsidRPr="008F09EE" w:rsidRDefault="001B6B89" w:rsidP="00A30354">
      <w:pPr>
        <w:pStyle w:val="ListParagraph"/>
        <w:numPr>
          <w:ilvl w:val="1"/>
          <w:numId w:val="2"/>
        </w:numPr>
        <w:tabs>
          <w:tab w:val="left" w:pos="68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pensamiento y aprendizaje (habilidades cognitivas);</w:t>
      </w:r>
    </w:p>
    <w:p w:rsidR="00C70C40" w:rsidRPr="008F09EE" w:rsidRDefault="001B6B89" w:rsidP="00A30354">
      <w:pPr>
        <w:pStyle w:val="ListParagraph"/>
        <w:numPr>
          <w:ilvl w:val="1"/>
          <w:numId w:val="2"/>
        </w:numPr>
        <w:tabs>
          <w:tab w:val="left" w:pos="68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movimiento (coordinación, fuerza y habilidades motoras finas [o de músculos pequeños] y gruesas [o de músculos grandes]);</w:t>
      </w:r>
    </w:p>
    <w:p w:rsidR="00C70C40" w:rsidRPr="008F09EE" w:rsidRDefault="001B6B89" w:rsidP="00A30354">
      <w:pPr>
        <w:pStyle w:val="ListParagraph"/>
        <w:numPr>
          <w:ilvl w:val="1"/>
          <w:numId w:val="2"/>
        </w:numPr>
        <w:tabs>
          <w:tab w:val="left" w:pos="68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juegos con juguetes (habilidades de adaptación);</w:t>
      </w:r>
    </w:p>
    <w:p w:rsidR="00C70C40" w:rsidRPr="008F09EE" w:rsidRDefault="001B6B89" w:rsidP="00A30354">
      <w:pPr>
        <w:pStyle w:val="ListParagraph"/>
        <w:numPr>
          <w:ilvl w:val="1"/>
          <w:numId w:val="2"/>
        </w:numPr>
        <w:tabs>
          <w:tab w:val="left" w:pos="681"/>
        </w:tabs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sonrisa y contacto visual (habilidades sociales);</w:t>
      </w:r>
    </w:p>
    <w:p w:rsidR="00C70C40" w:rsidRPr="008F09EE" w:rsidRDefault="001B6B89" w:rsidP="00A30354">
      <w:pPr>
        <w:pStyle w:val="ListParagraph"/>
        <w:numPr>
          <w:ilvl w:val="1"/>
          <w:numId w:val="2"/>
        </w:numPr>
        <w:tabs>
          <w:tab w:val="left" w:pos="681"/>
        </w:tabs>
        <w:spacing w:line="304" w:lineRule="exact"/>
        <w:ind w:hanging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lenguaje y gestos (habilidades de comunicación).</w:t>
      </w:r>
    </w:p>
    <w:p w:rsidR="00C70C40" w:rsidRPr="008F09EE" w:rsidRDefault="001B6B89" w:rsidP="00A3035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¿Dónde se realiza la consulta?</w:t>
      </w:r>
    </w:p>
    <w:p w:rsidR="00C70C40" w:rsidRPr="008F09EE" w:rsidRDefault="001B6B89" w:rsidP="00A30354">
      <w:pPr>
        <w:pStyle w:val="BodyText"/>
        <w:tabs>
          <w:tab w:val="left" w:pos="10569"/>
        </w:tabs>
        <w:spacing w:before="45" w:line="357" w:lineRule="auto"/>
        <w:ind w:left="120" w:right="22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Nombre:</w:t>
      </w:r>
      <w:r w:rsidRPr="008F09E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Dirección: </w:t>
      </w:r>
      <w:r w:rsidRPr="008F09E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Teléfono: </w:t>
      </w:r>
      <w:r w:rsidRPr="008F09EE">
        <w:rPr>
          <w:rFonts w:ascii="Times New Roman" w:hAnsi="Times New Roman" w:cs="Times New Roman"/>
          <w:u w:val="single"/>
        </w:rPr>
        <w:tab/>
      </w:r>
    </w:p>
    <w:p w:rsidR="00C70C40" w:rsidRPr="008F09EE" w:rsidRDefault="001B6B89" w:rsidP="00A30354">
      <w:pPr>
        <w:pStyle w:val="Heading1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¿Cuándo es la cita?</w:t>
      </w:r>
    </w:p>
    <w:p w:rsidR="00C70C40" w:rsidRPr="008F09EE" w:rsidRDefault="00C70C40" w:rsidP="00A30354">
      <w:pPr>
        <w:rPr>
          <w:rFonts w:ascii="Times New Roman" w:hAnsi="Times New Roman" w:cs="Times New Roman"/>
        </w:rPr>
        <w:sectPr w:rsidR="00C70C40" w:rsidRPr="008F09EE">
          <w:footerReference w:type="default" r:id="rId7"/>
          <w:type w:val="continuous"/>
          <w:pgSz w:w="12240" w:h="15840"/>
          <w:pgMar w:top="420" w:right="720" w:bottom="280" w:left="720" w:header="720" w:footer="720" w:gutter="0"/>
          <w:cols w:space="720"/>
        </w:sectPr>
      </w:pPr>
    </w:p>
    <w:p w:rsidR="00C70C40" w:rsidRPr="008F09EE" w:rsidRDefault="001B6B89" w:rsidP="00A30354">
      <w:pPr>
        <w:pStyle w:val="ListParagraph"/>
        <w:numPr>
          <w:ilvl w:val="0"/>
          <w:numId w:val="1"/>
        </w:numPr>
        <w:tabs>
          <w:tab w:val="left" w:pos="421"/>
          <w:tab w:val="left" w:pos="6939"/>
        </w:tabs>
        <w:spacing w:line="290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Fecha: </w:t>
      </w:r>
      <w:r w:rsidRPr="008F09EE">
        <w:rPr>
          <w:rFonts w:ascii="Times New Roman" w:hAnsi="Times New Roman" w:cs="Times New Roman"/>
          <w:u w:val="single"/>
        </w:rPr>
        <w:tab/>
      </w:r>
    </w:p>
    <w:p w:rsidR="00C70C40" w:rsidRPr="008F09EE" w:rsidRDefault="001B6B89" w:rsidP="00A30354">
      <w:pPr>
        <w:pStyle w:val="ListParagraph"/>
        <w:numPr>
          <w:ilvl w:val="0"/>
          <w:numId w:val="1"/>
        </w:numPr>
        <w:tabs>
          <w:tab w:val="left" w:pos="421"/>
        </w:tabs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Deberá llamar al consultorio donde se realizan las consultas de seguimiento del bebé de alto riesgo para programar la cita de su bebé.</w:t>
      </w:r>
    </w:p>
    <w:p w:rsidR="00C70C40" w:rsidRPr="008F09EE" w:rsidRDefault="001B6B89" w:rsidP="00A30354">
      <w:pPr>
        <w:pStyle w:val="ListParagraph"/>
        <w:numPr>
          <w:ilvl w:val="0"/>
          <w:numId w:val="1"/>
        </w:numPr>
        <w:tabs>
          <w:tab w:val="left" w:pos="421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Alguien del consultorio donde se realizan las consultas de seguimiento del bebé de alto riesgo lo llamará para programar la cita de su bebé.</w:t>
      </w:r>
    </w:p>
    <w:p w:rsidR="00C70C40" w:rsidRPr="008F09EE" w:rsidRDefault="001B6B89" w:rsidP="00A3035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Cosas importantes que debe recordar</w:t>
      </w:r>
    </w:p>
    <w:p w:rsidR="00C70C40" w:rsidRPr="008F09EE" w:rsidRDefault="001B6B89" w:rsidP="00A30354">
      <w:pPr>
        <w:pStyle w:val="BodyText"/>
        <w:tabs>
          <w:tab w:val="left" w:pos="3590"/>
        </w:tabs>
        <w:spacing w:line="294" w:lineRule="exact"/>
        <w:ind w:left="111" w:firstLine="0"/>
        <w:rPr>
          <w:rFonts w:ascii="Times New Roman" w:hAnsi="Times New Roman" w:cs="Times New Roman"/>
        </w:rPr>
      </w:pPr>
      <w:r w:rsidRPr="008F09EE"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t xml:space="preserve">Hora: </w:t>
      </w:r>
      <w:r w:rsidRPr="008F09EE">
        <w:rPr>
          <w:rFonts w:ascii="Times New Roman" w:hAnsi="Times New Roman" w:cs="Times New Roman"/>
          <w:u w:val="single"/>
        </w:rPr>
        <w:tab/>
      </w:r>
    </w:p>
    <w:p w:rsidR="00C70C40" w:rsidRPr="008F09EE" w:rsidRDefault="00C70C40" w:rsidP="00A30354">
      <w:pPr>
        <w:spacing w:line="294" w:lineRule="exact"/>
        <w:rPr>
          <w:rFonts w:ascii="Times New Roman" w:hAnsi="Times New Roman" w:cs="Times New Roman"/>
        </w:rPr>
        <w:sectPr w:rsidR="00C70C40" w:rsidRPr="008F09EE">
          <w:type w:val="continuous"/>
          <w:pgSz w:w="12240" w:h="15840"/>
          <w:pgMar w:top="420" w:right="720" w:bottom="280" w:left="720" w:header="720" w:footer="720" w:gutter="0"/>
          <w:cols w:num="2" w:space="720" w:equalWidth="0">
            <w:col w:w="6940" w:space="40"/>
            <w:col w:w="3820"/>
          </w:cols>
        </w:sectPr>
      </w:pPr>
    </w:p>
    <w:p w:rsidR="00C70C40" w:rsidRPr="008F09EE" w:rsidRDefault="001B6B89" w:rsidP="00A30354">
      <w:pPr>
        <w:pStyle w:val="ListParagraph"/>
        <w:numPr>
          <w:ilvl w:val="0"/>
          <w:numId w:val="2"/>
        </w:numPr>
        <w:tabs>
          <w:tab w:val="left" w:pos="421"/>
        </w:tabs>
        <w:spacing w:before="8" w:line="218" w:lineRule="auto"/>
        <w:ind w:right="117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Todas las consultas de seguimiento del bebé de alto riesgo son importantes, y son adicionales a las citas de control del niño sano que tenga con el proveedor de atención primaria de su bebé y cualquier consulta de intervención temprana.</w:t>
      </w:r>
    </w:p>
    <w:p w:rsidR="00C70C40" w:rsidRPr="008F09EE" w:rsidRDefault="001B6B89" w:rsidP="00A30354">
      <w:pPr>
        <w:pStyle w:val="ListParagraph"/>
        <w:numPr>
          <w:ilvl w:val="0"/>
          <w:numId w:val="2"/>
        </w:numPr>
        <w:tabs>
          <w:tab w:val="left" w:pos="421"/>
        </w:tabs>
        <w:spacing w:before="18" w:line="218" w:lineRule="auto"/>
        <w:ind w:right="117"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Cuando los problemas se identifican de forma temprana, los niños reciben ayuda de expertos y servicios de la comunidad para que puedan crecer y desarrollarse a su máxima capacidad.</w:t>
      </w:r>
    </w:p>
    <w:p w:rsidR="00C70C40" w:rsidRPr="008F09EE" w:rsidRDefault="001B6B89" w:rsidP="00A30354">
      <w:pPr>
        <w:pStyle w:val="ListParagraph"/>
        <w:numPr>
          <w:ilvl w:val="0"/>
          <w:numId w:val="2"/>
        </w:numPr>
        <w:tabs>
          <w:tab w:val="left" w:pos="421"/>
        </w:tabs>
        <w:spacing w:line="304" w:lineRule="exact"/>
        <w:ind w:hanging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no puede acudir a esta importante consulta de seguimiento, llame al consultorio para reprogramarla.</w:t>
      </w:r>
    </w:p>
    <w:p w:rsidR="00C70C40" w:rsidRPr="008F09EE" w:rsidRDefault="001B6B89" w:rsidP="00A30354">
      <w:pPr>
        <w:spacing w:before="74" w:line="199" w:lineRule="auto"/>
        <w:ind w:left="120" w:right="1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La información anterior le servirá de ayuda para entender mejor el cuidado de su bebé. Siga siempre las instrucciones del proveedor de atención médica y haga preguntas si tiene inquietudes sobre su bebé.</w:t>
      </w:r>
    </w:p>
    <w:p w:rsidR="00C70C40" w:rsidRPr="008F09EE" w:rsidRDefault="001B6B89" w:rsidP="00A30354">
      <w:pPr>
        <w:pStyle w:val="Heading1"/>
        <w:spacing w:before="2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Recursos en línea</w:t>
      </w:r>
    </w:p>
    <w:p w:rsidR="00C70C40" w:rsidRPr="008F09EE" w:rsidRDefault="00C70C40" w:rsidP="00A30354">
      <w:pPr>
        <w:rPr>
          <w:rFonts w:ascii="Times New Roman" w:hAnsi="Times New Roman" w:cs="Times New Roman"/>
        </w:rPr>
        <w:sectPr w:rsidR="00C70C40" w:rsidRPr="008F09EE">
          <w:type w:val="continuous"/>
          <w:pgSz w:w="12240" w:h="15840"/>
          <w:pgMar w:top="420" w:right="720" w:bottom="280" w:left="720" w:header="720" w:footer="720" w:gutter="0"/>
          <w:cols w:space="720"/>
        </w:sectPr>
      </w:pPr>
    </w:p>
    <w:p w:rsidR="008F09EE" w:rsidRDefault="001B6B89" w:rsidP="00117290">
      <w:pPr>
        <w:pStyle w:val="BodyText"/>
        <w:spacing w:before="8" w:line="218" w:lineRule="auto"/>
        <w:ind w:left="120" w:right="19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Academy of Pediatrics </w:t>
      </w:r>
    </w:p>
    <w:p w:rsidR="00C70C40" w:rsidRPr="008F09EE" w:rsidRDefault="00897FEF" w:rsidP="00A30354">
      <w:pPr>
        <w:pStyle w:val="BodyText"/>
        <w:spacing w:before="8" w:line="218" w:lineRule="auto"/>
        <w:ind w:left="120" w:right="2359" w:firstLine="0"/>
        <w:rPr>
          <w:rFonts w:ascii="Times New Roman" w:hAnsi="Times New Roman" w:cs="Times New Roman"/>
        </w:rPr>
      </w:pPr>
      <w:hyperlink r:id="rId8">
        <w:r w:rsidR="00F83973">
          <w:rPr>
            <w:rFonts w:ascii="Times New Roman" w:hAnsi="Times New Roman" w:cs="Times New Roman"/>
          </w:rPr>
          <w:t>www.aap.org</w:t>
        </w:r>
      </w:hyperlink>
    </w:p>
    <w:p w:rsidR="00C70C40" w:rsidRPr="008F09EE" w:rsidRDefault="00C70C40" w:rsidP="00A30354">
      <w:pPr>
        <w:pStyle w:val="BodyText"/>
        <w:spacing w:before="4"/>
        <w:ind w:left="0" w:firstLine="0"/>
        <w:rPr>
          <w:rFonts w:ascii="Times New Roman" w:hAnsi="Times New Roman" w:cs="Times New Roman"/>
          <w:sz w:val="19"/>
        </w:rPr>
      </w:pPr>
    </w:p>
    <w:p w:rsidR="00C70C40" w:rsidRPr="001217A5" w:rsidRDefault="001B6B89" w:rsidP="00A30354">
      <w:pPr>
        <w:spacing w:line="225" w:lineRule="auto"/>
        <w:ind w:left="120" w:right="26"/>
        <w:rPr>
          <w:rFonts w:ascii="Times New Roman" w:hAnsi="Times New Roman" w:cs="Times New Roman"/>
          <w:b/>
          <w:lang w:val="en-US"/>
        </w:rPr>
      </w:pPr>
      <w:r w:rsidRPr="001217A5">
        <w:rPr>
          <w:rFonts w:ascii="Times New Roman" w:hAnsi="Times New Roman" w:cs="Times New Roman"/>
          <w:lang w:val="en-US"/>
        </w:rPr>
        <w:t xml:space="preserve">High-Risk Infant Follow-Up Quality of Care Initiative </w:t>
      </w:r>
      <w:hyperlink r:id="rId9" w:history="1">
        <w:r w:rsidR="00897FEF">
          <w:rPr>
            <w:rStyle w:val="Hyperlink"/>
            <w:rFonts w:ascii="Times New Roman" w:hAnsi="Times New Roman" w:cs="Times New Roman"/>
          </w:rPr>
          <w:t xml:space="preserve">www.cpqcc.org/perinatal-programs/high-risk-infant-follow-quality-care-initiative </w:t>
        </w:r>
      </w:hyperlink>
      <w:bookmarkStart w:id="0" w:name="_GoBack"/>
      <w:bookmarkEnd w:id="0"/>
    </w:p>
    <w:p w:rsidR="00C70C40" w:rsidRPr="001217A5" w:rsidRDefault="001B6B89" w:rsidP="00A30354">
      <w:pPr>
        <w:pStyle w:val="BodyText"/>
        <w:spacing w:before="8" w:line="218" w:lineRule="auto"/>
        <w:ind w:left="120" w:right="2830" w:firstLine="0"/>
        <w:rPr>
          <w:rFonts w:ascii="Times New Roman" w:hAnsi="Times New Roman" w:cs="Times New Roman"/>
          <w:lang w:val="en-US"/>
        </w:rPr>
        <w:sectPr w:rsidR="00C70C40" w:rsidRPr="001217A5">
          <w:type w:val="continuous"/>
          <w:pgSz w:w="12240" w:h="15840"/>
          <w:pgMar w:top="420" w:right="720" w:bottom="280" w:left="720" w:header="720" w:footer="720" w:gutter="0"/>
          <w:cols w:num="2" w:space="720" w:equalWidth="0">
            <w:col w:w="5078" w:space="262"/>
            <w:col w:w="5460"/>
          </w:cols>
        </w:sectPr>
      </w:pPr>
      <w:r w:rsidRPr="001217A5">
        <w:rPr>
          <w:rFonts w:ascii="Times New Roman" w:hAnsi="Times New Roman" w:cs="Times New Roman"/>
          <w:lang w:val="en-US"/>
        </w:rPr>
        <w:br w:type="column"/>
      </w:r>
      <w:r w:rsidRPr="001217A5">
        <w:rPr>
          <w:rFonts w:ascii="Times New Roman" w:hAnsi="Times New Roman" w:cs="Times New Roman"/>
          <w:lang w:val="en-US"/>
        </w:rPr>
        <w:t xml:space="preserve">Kids Health </w:t>
      </w:r>
      <w:hyperlink r:id="rId10">
        <w:r w:rsidRPr="001217A5">
          <w:rPr>
            <w:rFonts w:ascii="Times New Roman" w:hAnsi="Times New Roman" w:cs="Times New Roman"/>
            <w:lang w:val="en-US"/>
          </w:rPr>
          <w:t>www.kidshealth.org</w:t>
        </w:r>
      </w:hyperlink>
    </w:p>
    <w:p w:rsidR="00C70C40" w:rsidRPr="001217A5" w:rsidRDefault="00C70C40" w:rsidP="00A30354">
      <w:pPr>
        <w:tabs>
          <w:tab w:val="left" w:pos="879"/>
          <w:tab w:val="left" w:pos="3799"/>
          <w:tab w:val="left" w:pos="10115"/>
        </w:tabs>
        <w:spacing w:before="98"/>
        <w:ind w:left="119"/>
        <w:rPr>
          <w:rFonts w:ascii="Impact LT Std" w:hAnsi="Impact LT Std"/>
          <w:sz w:val="24"/>
          <w:lang w:val="en-US"/>
        </w:rPr>
      </w:pPr>
    </w:p>
    <w:sectPr w:rsidR="00C70C40" w:rsidRPr="001217A5" w:rsidSect="00166267">
      <w:type w:val="continuous"/>
      <w:pgSz w:w="12240" w:h="15840"/>
      <w:pgMar w:top="42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F0" w:rsidRDefault="00F449F0" w:rsidP="008F09EE">
      <w:r>
        <w:separator/>
      </w:r>
    </w:p>
  </w:endnote>
  <w:endnote w:type="continuationSeparator" w:id="0">
    <w:p w:rsidR="00F449F0" w:rsidRDefault="00F449F0" w:rsidP="008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-LightCn">
    <w:altName w:val="Arial Narrow"/>
    <w:panose1 w:val="020B0406020202040204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">
    <w:altName w:val="Calibri"/>
    <w:charset w:val="00"/>
    <w:family w:val="roman"/>
    <w:pitch w:val="variable"/>
  </w:font>
  <w:font w:name="UniversLTStd-LightCnObl">
    <w:altName w:val="Calibri"/>
    <w:panose1 w:val="020B0406020202040204"/>
    <w:charset w:val="00"/>
    <w:family w:val="roman"/>
    <w:pitch w:val="variable"/>
  </w:font>
  <w:font w:name="Impact LT Std">
    <w:panose1 w:val="020B080603090205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EE" w:rsidRPr="001217A5" w:rsidRDefault="00897FEF" w:rsidP="008F09EE">
    <w:pPr>
      <w:pStyle w:val="Footer"/>
      <w:jc w:val="center"/>
      <w:rPr>
        <w:lang w:val="en-US"/>
      </w:rPr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225pt;margin-top:750.7pt;width:204.9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Qq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cy8IruGqgDs/8uLF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" filled="f" stroked="f">
          <v:textbox inset="0,0,0,0">
            <w:txbxContent>
              <w:p w:rsidR="0031772A" w:rsidRDefault="0031772A" w:rsidP="0031772A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</w:rPr>
                </w:pPr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© 2018 </w:t>
                </w:r>
                <w:proofErr w:type="spellStart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>by</w:t>
                </w:r>
                <w:proofErr w:type="spellEnd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>the</w:t>
                </w:r>
                <w:proofErr w:type="spellEnd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>National</w:t>
                </w:r>
                <w:proofErr w:type="spellEnd"/>
                <w:r>
                  <w:rPr>
                    <w:rFonts w:ascii="UniversLTStd-LightCnObl" w:hAnsi="UniversLTStd-LightCnObl"/>
                    <w:i/>
                    <w:color w:val="00539B"/>
                    <w:sz w:val="20"/>
                  </w:rPr>
                  <w:t xml:space="preserve"> Association of Neonatal Nurses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F0" w:rsidRDefault="00F449F0" w:rsidP="008F09EE">
      <w:r>
        <w:separator/>
      </w:r>
    </w:p>
  </w:footnote>
  <w:footnote w:type="continuationSeparator" w:id="0">
    <w:p w:rsidR="00F449F0" w:rsidRDefault="00F449F0" w:rsidP="008F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910A2"/>
    <w:multiLevelType w:val="hybridMultilevel"/>
    <w:tmpl w:val="850A693E"/>
    <w:lvl w:ilvl="0" w:tplc="E02228F2">
      <w:numFmt w:val="bullet"/>
      <w:lvlText w:val="o"/>
      <w:lvlJc w:val="left"/>
      <w:pPr>
        <w:ind w:left="420" w:hanging="301"/>
      </w:pPr>
      <w:rPr>
        <w:rFonts w:ascii="MS Gothic" w:eastAsia="MS Gothic" w:hAnsi="MS Gothic" w:cs="MS Gothic" w:hint="default"/>
        <w:w w:val="152"/>
        <w:sz w:val="22"/>
        <w:szCs w:val="22"/>
      </w:rPr>
    </w:lvl>
    <w:lvl w:ilvl="1" w:tplc="1F0C552C">
      <w:numFmt w:val="bullet"/>
      <w:lvlText w:val="•"/>
      <w:lvlJc w:val="left"/>
      <w:pPr>
        <w:ind w:left="1071" w:hanging="301"/>
      </w:pPr>
      <w:rPr>
        <w:rFonts w:hint="default"/>
      </w:rPr>
    </w:lvl>
    <w:lvl w:ilvl="2" w:tplc="D26E6C8A">
      <w:numFmt w:val="bullet"/>
      <w:lvlText w:val="•"/>
      <w:lvlJc w:val="left"/>
      <w:pPr>
        <w:ind w:left="1723" w:hanging="301"/>
      </w:pPr>
      <w:rPr>
        <w:rFonts w:hint="default"/>
      </w:rPr>
    </w:lvl>
    <w:lvl w:ilvl="3" w:tplc="4134F1BA">
      <w:numFmt w:val="bullet"/>
      <w:lvlText w:val="•"/>
      <w:lvlJc w:val="left"/>
      <w:pPr>
        <w:ind w:left="2375" w:hanging="301"/>
      </w:pPr>
      <w:rPr>
        <w:rFonts w:hint="default"/>
      </w:rPr>
    </w:lvl>
    <w:lvl w:ilvl="4" w:tplc="17F6B218">
      <w:numFmt w:val="bullet"/>
      <w:lvlText w:val="•"/>
      <w:lvlJc w:val="left"/>
      <w:pPr>
        <w:ind w:left="3027" w:hanging="301"/>
      </w:pPr>
      <w:rPr>
        <w:rFonts w:hint="default"/>
      </w:rPr>
    </w:lvl>
    <w:lvl w:ilvl="5" w:tplc="C38C7872">
      <w:numFmt w:val="bullet"/>
      <w:lvlText w:val="•"/>
      <w:lvlJc w:val="left"/>
      <w:pPr>
        <w:ind w:left="3679" w:hanging="301"/>
      </w:pPr>
      <w:rPr>
        <w:rFonts w:hint="default"/>
      </w:rPr>
    </w:lvl>
    <w:lvl w:ilvl="6" w:tplc="482E8D0E">
      <w:numFmt w:val="bullet"/>
      <w:lvlText w:val="•"/>
      <w:lvlJc w:val="left"/>
      <w:pPr>
        <w:ind w:left="4331" w:hanging="301"/>
      </w:pPr>
      <w:rPr>
        <w:rFonts w:hint="default"/>
      </w:rPr>
    </w:lvl>
    <w:lvl w:ilvl="7" w:tplc="B798F7E2">
      <w:numFmt w:val="bullet"/>
      <w:lvlText w:val="•"/>
      <w:lvlJc w:val="left"/>
      <w:pPr>
        <w:ind w:left="4983" w:hanging="301"/>
      </w:pPr>
      <w:rPr>
        <w:rFonts w:hint="default"/>
      </w:rPr>
    </w:lvl>
    <w:lvl w:ilvl="8" w:tplc="314C81EA">
      <w:numFmt w:val="bullet"/>
      <w:lvlText w:val="•"/>
      <w:lvlJc w:val="left"/>
      <w:pPr>
        <w:ind w:left="5635" w:hanging="301"/>
      </w:pPr>
      <w:rPr>
        <w:rFonts w:hint="default"/>
      </w:rPr>
    </w:lvl>
  </w:abstractNum>
  <w:abstractNum w:abstractNumId="1" w15:restartNumberingAfterBreak="0">
    <w:nsid w:val="398867F6"/>
    <w:multiLevelType w:val="hybridMultilevel"/>
    <w:tmpl w:val="3078D564"/>
    <w:lvl w:ilvl="0" w:tplc="EB0CE63C">
      <w:numFmt w:val="bullet"/>
      <w:lvlText w:val="•"/>
      <w:lvlJc w:val="left"/>
      <w:pPr>
        <w:ind w:left="420" w:hanging="301"/>
      </w:pPr>
      <w:rPr>
        <w:rFonts w:ascii="UniversLTStd-LightCn" w:eastAsia="UniversLTStd-LightCn" w:hAnsi="UniversLTStd-LightCn" w:cs="UniversLTStd-LightCn" w:hint="default"/>
        <w:spacing w:val="-1"/>
        <w:w w:val="100"/>
        <w:sz w:val="22"/>
        <w:szCs w:val="22"/>
      </w:rPr>
    </w:lvl>
    <w:lvl w:ilvl="1" w:tplc="1EFE7770">
      <w:numFmt w:val="bullet"/>
      <w:lvlText w:val="–"/>
      <w:lvlJc w:val="left"/>
      <w:pPr>
        <w:ind w:left="680" w:hanging="281"/>
      </w:pPr>
      <w:rPr>
        <w:rFonts w:ascii="UniversLTStd-LightCn" w:eastAsia="UniversLTStd-LightCn" w:hAnsi="UniversLTStd-LightCn" w:cs="UniversLTStd-LightCn" w:hint="default"/>
        <w:w w:val="100"/>
        <w:sz w:val="22"/>
        <w:szCs w:val="22"/>
      </w:rPr>
    </w:lvl>
    <w:lvl w:ilvl="2" w:tplc="96F23D62">
      <w:numFmt w:val="bullet"/>
      <w:lvlText w:val="•"/>
      <w:lvlJc w:val="left"/>
      <w:pPr>
        <w:ind w:left="1804" w:hanging="281"/>
      </w:pPr>
      <w:rPr>
        <w:rFonts w:hint="default"/>
      </w:rPr>
    </w:lvl>
    <w:lvl w:ilvl="3" w:tplc="414692B8">
      <w:numFmt w:val="bullet"/>
      <w:lvlText w:val="•"/>
      <w:lvlJc w:val="left"/>
      <w:pPr>
        <w:ind w:left="2928" w:hanging="281"/>
      </w:pPr>
      <w:rPr>
        <w:rFonts w:hint="default"/>
      </w:rPr>
    </w:lvl>
    <w:lvl w:ilvl="4" w:tplc="168C6568">
      <w:numFmt w:val="bullet"/>
      <w:lvlText w:val="•"/>
      <w:lvlJc w:val="left"/>
      <w:pPr>
        <w:ind w:left="4053" w:hanging="281"/>
      </w:pPr>
      <w:rPr>
        <w:rFonts w:hint="default"/>
      </w:rPr>
    </w:lvl>
    <w:lvl w:ilvl="5" w:tplc="DAE62F2C">
      <w:numFmt w:val="bullet"/>
      <w:lvlText w:val="•"/>
      <w:lvlJc w:val="left"/>
      <w:pPr>
        <w:ind w:left="5177" w:hanging="281"/>
      </w:pPr>
      <w:rPr>
        <w:rFonts w:hint="default"/>
      </w:rPr>
    </w:lvl>
    <w:lvl w:ilvl="6" w:tplc="201AF63E">
      <w:numFmt w:val="bullet"/>
      <w:lvlText w:val="•"/>
      <w:lvlJc w:val="left"/>
      <w:pPr>
        <w:ind w:left="6302" w:hanging="281"/>
      </w:pPr>
      <w:rPr>
        <w:rFonts w:hint="default"/>
      </w:rPr>
    </w:lvl>
    <w:lvl w:ilvl="7" w:tplc="5E4AD00C">
      <w:numFmt w:val="bullet"/>
      <w:lvlText w:val="•"/>
      <w:lvlJc w:val="left"/>
      <w:pPr>
        <w:ind w:left="7426" w:hanging="281"/>
      </w:pPr>
      <w:rPr>
        <w:rFonts w:hint="default"/>
      </w:rPr>
    </w:lvl>
    <w:lvl w:ilvl="8" w:tplc="E17CEA42">
      <w:numFmt w:val="bullet"/>
      <w:lvlText w:val="•"/>
      <w:lvlJc w:val="left"/>
      <w:pPr>
        <w:ind w:left="8551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0C40"/>
    <w:rsid w:val="00046EDA"/>
    <w:rsid w:val="00117290"/>
    <w:rsid w:val="001217A5"/>
    <w:rsid w:val="00166267"/>
    <w:rsid w:val="001B6B89"/>
    <w:rsid w:val="0031772A"/>
    <w:rsid w:val="0041535A"/>
    <w:rsid w:val="00897FEF"/>
    <w:rsid w:val="008F09EE"/>
    <w:rsid w:val="00A30354"/>
    <w:rsid w:val="00BA111E"/>
    <w:rsid w:val="00C70C40"/>
    <w:rsid w:val="00D738E7"/>
    <w:rsid w:val="00F449F0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B9BCAD4E-F431-45A1-A752-57510C8E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267"/>
    <w:rPr>
      <w:rFonts w:ascii="UniversLTStd-LightCn" w:eastAsia="UniversLTStd-LightCn" w:hAnsi="UniversLTStd-LightCn" w:cs="UniversLTStd-LightCn"/>
    </w:rPr>
  </w:style>
  <w:style w:type="paragraph" w:styleId="Heading1">
    <w:name w:val="heading 1"/>
    <w:basedOn w:val="Normal"/>
    <w:uiPriority w:val="1"/>
    <w:qFormat/>
    <w:rsid w:val="00166267"/>
    <w:pPr>
      <w:spacing w:before="111"/>
      <w:ind w:left="120"/>
      <w:outlineLvl w:val="0"/>
    </w:pPr>
    <w:rPr>
      <w:rFonts w:ascii="Univers LT Std" w:eastAsia="Univers LT Std" w:hAnsi="Univers LT Std" w:cs="Univers LT St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6267"/>
    <w:pPr>
      <w:ind w:left="420" w:hanging="300"/>
    </w:pPr>
  </w:style>
  <w:style w:type="paragraph" w:styleId="ListParagraph">
    <w:name w:val="List Paragraph"/>
    <w:basedOn w:val="Normal"/>
    <w:uiPriority w:val="1"/>
    <w:qFormat/>
    <w:rsid w:val="00166267"/>
    <w:pPr>
      <w:spacing w:line="300" w:lineRule="exact"/>
      <w:ind w:left="420" w:hanging="300"/>
    </w:pPr>
  </w:style>
  <w:style w:type="paragraph" w:customStyle="1" w:styleId="TableParagraph">
    <w:name w:val="Table Paragraph"/>
    <w:basedOn w:val="Normal"/>
    <w:uiPriority w:val="1"/>
    <w:qFormat/>
    <w:rsid w:val="0016626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F0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9EE"/>
    <w:rPr>
      <w:rFonts w:ascii="UniversLTStd-LightCn" w:eastAsia="UniversLTStd-LightCn" w:hAnsi="UniversLTStd-LightCn" w:cs="UniversLTStd-LightCn"/>
    </w:rPr>
  </w:style>
  <w:style w:type="paragraph" w:styleId="Footer">
    <w:name w:val="footer"/>
    <w:basedOn w:val="Normal"/>
    <w:link w:val="FooterChar"/>
    <w:uiPriority w:val="99"/>
    <w:unhideWhenUsed/>
    <w:rsid w:val="008F0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9EE"/>
    <w:rPr>
      <w:rFonts w:ascii="UniversLTStd-LightCn" w:eastAsia="UniversLTStd-LightCn" w:hAnsi="UniversLTStd-LightCn" w:cs="UniversLTStd-LightCn"/>
    </w:rPr>
  </w:style>
  <w:style w:type="character" w:styleId="Hyperlink">
    <w:name w:val="Hyperlink"/>
    <w:basedOn w:val="DefaultParagraphFont"/>
    <w:uiPriority w:val="99"/>
    <w:semiHidden/>
    <w:unhideWhenUsed/>
    <w:rsid w:val="0089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p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dshealt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qcc.org/perinatal-programs/high-risk-infant-follow-quality-care-initiative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NANN18_Discharge_Step9.rev2.indd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NANN18_Discharge_Step9.rev2.indd</dc:title>
  <dc:creator>Andie Bernard</dc:creator>
  <cp:lastModifiedBy>Andie Bernard</cp:lastModifiedBy>
  <cp:revision>4</cp:revision>
  <dcterms:created xsi:type="dcterms:W3CDTF">2018-04-27T19:50:00Z</dcterms:created>
  <dcterms:modified xsi:type="dcterms:W3CDTF">2018-05-02T18:09:00Z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2018-04-02T00:00:00Z</vt:filetime>
  </property>
</Properties>
</file>