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B30D70" w:rsidRPr="00DC5549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B30D70" w:rsidRPr="00DC5549" w:rsidRDefault="00B30D70" w:rsidP="009C024A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B30D70" w:rsidRPr="00DC5549" w:rsidRDefault="00B30D70" w:rsidP="009C024A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B30D70" w:rsidRPr="00DC5549" w:rsidRDefault="00B30D70" w:rsidP="009C024A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B30D70" w:rsidRPr="00DC5549" w:rsidRDefault="00B30D70" w:rsidP="009C024A">
            <w:pPr>
              <w:pStyle w:val="TableParagraph"/>
            </w:pPr>
          </w:p>
        </w:tc>
      </w:tr>
    </w:tbl>
    <w:p w:rsidR="00B30D70" w:rsidRPr="00DC5549" w:rsidRDefault="001F5CFC" w:rsidP="009C024A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>Medicamentos en el hogar: multivitamínicos</w:t>
      </w:r>
      <w:r w:rsidR="00571D8B">
        <w:rPr>
          <w:rFonts w:ascii="Univers LT Std" w:hAnsi="Univers LT Std"/>
          <w:b/>
          <w:color w:val="00539B"/>
          <w:sz w:val="32"/>
          <w:u w:val="single" w:color="B2CF3F"/>
        </w:rPr>
        <w:t xml:space="preserve"> (</w:t>
      </w:r>
      <w:proofErr w:type="spellStart"/>
      <w:r w:rsidR="00571D8B">
        <w:rPr>
          <w:rFonts w:ascii="Univers LT Std"/>
          <w:b/>
          <w:color w:val="00539B"/>
          <w:sz w:val="32"/>
          <w:u w:val="single" w:color="B2CF3F"/>
        </w:rPr>
        <w:t>Poly</w:t>
      </w:r>
      <w:proofErr w:type="spellEnd"/>
      <w:r w:rsidR="00571D8B">
        <w:rPr>
          <w:rFonts w:ascii="Univers LT Std"/>
          <w:b/>
          <w:color w:val="00539B"/>
          <w:sz w:val="32"/>
          <w:u w:val="single" w:color="B2CF3F"/>
        </w:rPr>
        <w:t xml:space="preserve"> Vi Sol</w:t>
      </w:r>
      <w:r w:rsidR="00571D8B">
        <w:rPr>
          <w:rFonts w:ascii="Univers LT Std"/>
          <w:b/>
          <w:color w:val="00539B"/>
          <w:sz w:val="32"/>
          <w:u w:val="single" w:color="B2CF3F"/>
        </w:rPr>
        <w:t>)</w:t>
      </w:r>
      <w:bookmarkStart w:id="0" w:name="_GoBack"/>
      <w:bookmarkEnd w:id="0"/>
      <w:r w:rsidRPr="00DC5549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B30D70" w:rsidRPr="00DC5549" w:rsidRDefault="001F5CFC" w:rsidP="009C024A">
      <w:pPr>
        <w:pStyle w:val="BodyText"/>
        <w:spacing w:before="134" w:line="232" w:lineRule="auto"/>
        <w:ind w:left="100" w:right="4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B30D70" w:rsidRPr="00DC5549" w:rsidRDefault="001F5CFC" w:rsidP="009C024A">
      <w:pPr>
        <w:pStyle w:val="Heading1"/>
        <w:spacing w:before="9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B30D70" w:rsidRPr="00DC5549" w:rsidRDefault="001F5CFC" w:rsidP="009C024A">
      <w:pPr>
        <w:pStyle w:val="BodyText"/>
        <w:spacing w:before="5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multivitamínicos son suplementos nutricionales que promueven el desarrollo y crecimiento saludable.</w:t>
      </w:r>
    </w:p>
    <w:p w:rsidR="00B30D70" w:rsidRPr="00DC5549" w:rsidRDefault="001F5CFC" w:rsidP="009C024A">
      <w:pPr>
        <w:pStyle w:val="Heading1"/>
        <w:spacing w:before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multivitamínicos se administran por vía oral.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  <w:tab w:val="left" w:pos="10079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DC5549">
        <w:rPr>
          <w:rFonts w:ascii="Times New Roman" w:hAnsi="Times New Roman" w:cs="Times New Roman"/>
          <w:u w:val="single"/>
        </w:rPr>
        <w:tab/>
      </w:r>
    </w:p>
    <w:p w:rsidR="00B30D70" w:rsidRPr="00DC5549" w:rsidRDefault="001F5CFC" w:rsidP="009C024A">
      <w:pPr>
        <w:pStyle w:val="Heading1"/>
        <w:spacing w:before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spacing w:line="301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Malestar estomacal</w:t>
      </w:r>
    </w:p>
    <w:p w:rsidR="00B30D70" w:rsidRPr="00DC5549" w:rsidRDefault="001F5CFC" w:rsidP="009C024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3453A0">
        <w:rPr>
          <w:rFonts w:ascii="Times New Roman" w:hAnsi="Times New Roman" w:cs="Times New Roman"/>
        </w:rPr>
        <w:t xml:space="preserve">Qué </w:t>
      </w:r>
      <w:r>
        <w:rPr>
          <w:rFonts w:ascii="Times New Roman" w:hAnsi="Times New Roman" w:cs="Times New Roman"/>
        </w:rPr>
        <w:t>sucede si omito una dosis o si mi bebé escupe el medicamento?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la dosis que omitió tan pronto como lo recuerde. Si casi es tiempo de la siguiente dosis, ya no le dé la que omitió y siga con su horario regular de administración del medicamento. Jamás debe darle una dosis doble.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de su bebé si omitió dos o más dosis o si el bebé escupió el medicamento.</w:t>
      </w:r>
    </w:p>
    <w:p w:rsidR="00B30D70" w:rsidRPr="00DC5549" w:rsidRDefault="001F5CFC" w:rsidP="009C024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del bebé antes de darle medicamentos de venta libre (sin receta).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Mantenga todos los medicamentos fuera del alcance de los niños, bien cerrados y en los frascos o envases originales, con las etiquetas de las indicaciones proporcionad</w:t>
      </w:r>
      <w:r w:rsidR="000145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por la farmacia.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los multivitamínicos tal como se lo indicó el proveedor de atención médica de su bebé.</w:t>
      </w:r>
    </w:p>
    <w:p w:rsidR="00B30D70" w:rsidRPr="00DC5549" w:rsidRDefault="001F5CFC" w:rsidP="009C024A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los multivitamínicos ni le dé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está respirando, comience a hacerle reanimación cardiopulmonar (RCP) y llame de inmediato al servicio médico de emergencias o al 911.</w:t>
      </w:r>
    </w:p>
    <w:p w:rsidR="00B30D70" w:rsidRPr="00DC5549" w:rsidRDefault="001F5CFC" w:rsidP="009C024A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Conserve los multivitamínicos a temperatura ambiente y lejos de áreas con exceso de calor y humedad, como por ejemplo el baño.</w:t>
      </w:r>
    </w:p>
    <w:p w:rsidR="00B30D70" w:rsidRPr="00DC5549" w:rsidRDefault="001F5CFC" w:rsidP="009C024A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Tenga en cuenta que los multivitamínicos que contienen hierro pueden manchar la ropa si se derraman o si el bebé los escupe.</w:t>
      </w:r>
    </w:p>
    <w:p w:rsidR="00B30D70" w:rsidRPr="00DC5549" w:rsidRDefault="001F5CFC" w:rsidP="009C024A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medicamentos, cerciórese de lo siguiente: </w:t>
      </w:r>
      <w:r w:rsidRPr="00DC5549">
        <w:rPr>
          <w:rFonts w:ascii="Times New Roman" w:hAnsi="Times New Roman" w:cs="Times New Roman"/>
          <w:i/>
        </w:rPr>
        <w:t xml:space="preserve"> </w:t>
      </w:r>
    </w:p>
    <w:p w:rsidR="00B30D70" w:rsidRPr="00DC5549" w:rsidRDefault="001F5CFC" w:rsidP="009C024A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B30D70" w:rsidRPr="00DC5549" w:rsidRDefault="001F5CFC" w:rsidP="009C024A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B30D70" w:rsidRPr="00DC5549" w:rsidRDefault="001F5CFC" w:rsidP="009C024A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B30D70" w:rsidRPr="00DC5549" w:rsidRDefault="001F5CFC" w:rsidP="009C024A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B30D70" w:rsidRPr="00DC5549" w:rsidRDefault="001F5CFC" w:rsidP="009C024A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B30D70" w:rsidRPr="00DC5549" w:rsidRDefault="001F5CFC" w:rsidP="009C024A">
      <w:pPr>
        <w:spacing w:before="75" w:line="199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del farmacéutico. Siempre es conveniente hacer preguntas si algo le preocupa acerca de su bebé.</w:t>
      </w:r>
    </w:p>
    <w:p w:rsidR="009C024A" w:rsidRDefault="009C024A" w:rsidP="009C024A">
      <w:pPr>
        <w:pStyle w:val="Heading1"/>
        <w:spacing w:before="216" w:line="240" w:lineRule="auto"/>
        <w:rPr>
          <w:rFonts w:ascii="Times New Roman" w:hAnsi="Times New Roman" w:cs="Times New Roman"/>
        </w:rPr>
        <w:sectPr w:rsidR="009C024A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22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B30D70" w:rsidRPr="00DC5549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B30D70" w:rsidRPr="00DC5549" w:rsidRDefault="00B30D70" w:rsidP="009C024A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B30D70" w:rsidRPr="00DC5549" w:rsidRDefault="00B30D70" w:rsidP="009C024A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B30D70" w:rsidRPr="00DC5549" w:rsidRDefault="00B30D70" w:rsidP="009C024A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B30D70" w:rsidRPr="00DC5549" w:rsidRDefault="00B30D70" w:rsidP="009C024A">
            <w:pPr>
              <w:pStyle w:val="TableParagraph"/>
              <w:rPr>
                <w:sz w:val="20"/>
              </w:rPr>
            </w:pPr>
          </w:p>
        </w:tc>
      </w:tr>
    </w:tbl>
    <w:p w:rsidR="00B30D70" w:rsidRPr="00DC5549" w:rsidRDefault="00B30D70" w:rsidP="009C024A">
      <w:pPr>
        <w:pStyle w:val="BodyText"/>
        <w:spacing w:before="12"/>
        <w:ind w:left="0"/>
        <w:rPr>
          <w:rFonts w:ascii="Times New Roman" w:hAnsi="Times New Roman" w:cs="Times New Roman"/>
          <w:sz w:val="5"/>
        </w:rPr>
      </w:pPr>
    </w:p>
    <w:p w:rsidR="00B30D70" w:rsidRPr="00DC5549" w:rsidRDefault="00B30D70" w:rsidP="009C024A">
      <w:pPr>
        <w:rPr>
          <w:rFonts w:ascii="Times New Roman" w:hAnsi="Times New Roman" w:cs="Times New Roman"/>
          <w:sz w:val="5"/>
        </w:rPr>
        <w:sectPr w:rsidR="00B30D70" w:rsidRPr="00DC5549">
          <w:pgSz w:w="12240" w:h="15840"/>
          <w:pgMar w:top="420" w:right="720" w:bottom="920" w:left="740" w:header="0" w:footer="726" w:gutter="0"/>
          <w:cols w:space="720"/>
        </w:sectPr>
      </w:pPr>
    </w:p>
    <w:p w:rsidR="009C024A" w:rsidRPr="009C024A" w:rsidRDefault="009C024A" w:rsidP="009C024A">
      <w:pPr>
        <w:pStyle w:val="Heading1"/>
        <w:spacing w:before="216" w:line="240" w:lineRule="auto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hAnsi="Times New Roman" w:cs="Times New Roman"/>
        </w:rPr>
        <w:t>Recursos en línea</w:t>
      </w:r>
    </w:p>
    <w:p w:rsidR="009C024A" w:rsidRPr="009C024A" w:rsidRDefault="009C024A" w:rsidP="009C024A">
      <w:pPr>
        <w:pStyle w:val="BodyText"/>
        <w:spacing w:before="8" w:line="218" w:lineRule="auto"/>
        <w:ind w:left="100"/>
        <w:rPr>
          <w:rFonts w:ascii="Times New Roman" w:hAnsi="Times New Roman" w:cs="Times New Roman"/>
          <w:lang w:val="en-US"/>
        </w:rPr>
      </w:pPr>
      <w:r w:rsidRPr="009C024A">
        <w:rPr>
          <w:rFonts w:ascii="Times New Roman" w:hAnsi="Times New Roman" w:cs="Times New Roman"/>
          <w:lang w:val="en-US"/>
        </w:rPr>
        <w:t xml:space="preserve">American Academy of Pediatrics </w:t>
      </w:r>
    </w:p>
    <w:p w:rsidR="009C024A" w:rsidRPr="009C024A" w:rsidRDefault="00571D8B" w:rsidP="009C024A">
      <w:pPr>
        <w:pStyle w:val="BodyText"/>
        <w:spacing w:before="8" w:line="218" w:lineRule="auto"/>
        <w:ind w:left="100"/>
        <w:rPr>
          <w:rFonts w:ascii="Times New Roman" w:hAnsi="Times New Roman" w:cs="Times New Roman"/>
          <w:lang w:val="en-US"/>
        </w:rPr>
      </w:pPr>
      <w:hyperlink r:id="rId8">
        <w:r w:rsidR="009C024A" w:rsidRPr="009C024A">
          <w:rPr>
            <w:rFonts w:ascii="Times New Roman" w:hAnsi="Times New Roman" w:cs="Times New Roman"/>
            <w:lang w:val="en-US"/>
          </w:rPr>
          <w:t>www.aap.org</w:t>
        </w:r>
      </w:hyperlink>
    </w:p>
    <w:p w:rsidR="009C024A" w:rsidRPr="009C024A" w:rsidRDefault="009C024A" w:rsidP="009C024A">
      <w:pPr>
        <w:pStyle w:val="BodyText"/>
        <w:spacing w:before="11"/>
        <w:ind w:left="0"/>
        <w:rPr>
          <w:rFonts w:ascii="Times New Roman" w:hAnsi="Times New Roman" w:cs="Times New Roman"/>
          <w:sz w:val="19"/>
          <w:lang w:val="en-US"/>
        </w:rPr>
      </w:pPr>
    </w:p>
    <w:p w:rsidR="007223BE" w:rsidRDefault="009C024A" w:rsidP="009C024A">
      <w:pPr>
        <w:pStyle w:val="BodyText"/>
        <w:spacing w:before="1" w:line="218" w:lineRule="auto"/>
        <w:ind w:left="100"/>
        <w:rPr>
          <w:rFonts w:ascii="Times New Roman" w:hAnsi="Times New Roman" w:cs="Times New Roman"/>
          <w:lang w:val="en-US"/>
        </w:rPr>
      </w:pPr>
      <w:r w:rsidRPr="009C024A">
        <w:rPr>
          <w:rFonts w:ascii="Times New Roman" w:hAnsi="Times New Roman" w:cs="Times New Roman"/>
          <w:lang w:val="en-US"/>
        </w:rPr>
        <w:t>HealthFinder.gov</w:t>
      </w:r>
    </w:p>
    <w:p w:rsidR="009C024A" w:rsidRDefault="009C024A" w:rsidP="009C024A">
      <w:pPr>
        <w:pStyle w:val="BodyText"/>
        <w:spacing w:before="1" w:line="218" w:lineRule="auto"/>
        <w:ind w:left="100"/>
      </w:pPr>
      <w:r w:rsidRPr="009C024A">
        <w:rPr>
          <w:rFonts w:ascii="Times New Roman" w:hAnsi="Times New Roman" w:cs="Times New Roman"/>
          <w:lang w:val="en-US"/>
        </w:rPr>
        <w:t xml:space="preserve"> </w:t>
      </w:r>
      <w:hyperlink r:id="rId9">
        <w:r w:rsidRPr="009C024A">
          <w:rPr>
            <w:rFonts w:ascii="Times New Roman" w:hAnsi="Times New Roman" w:cs="Times New Roman"/>
            <w:lang w:val="en-US"/>
          </w:rPr>
          <w:t>www.healthfinder.gov</w:t>
        </w:r>
      </w:hyperlink>
    </w:p>
    <w:p w:rsidR="007223BE" w:rsidRPr="009C024A" w:rsidRDefault="007223BE" w:rsidP="009C024A">
      <w:pPr>
        <w:pStyle w:val="BodyText"/>
        <w:spacing w:before="1" w:line="218" w:lineRule="auto"/>
        <w:ind w:left="100"/>
        <w:rPr>
          <w:rFonts w:ascii="Times New Roman" w:hAnsi="Times New Roman" w:cs="Times New Roman"/>
          <w:lang w:val="en-US"/>
        </w:rPr>
      </w:pPr>
    </w:p>
    <w:p w:rsidR="009C024A" w:rsidRPr="009C024A" w:rsidRDefault="009C024A" w:rsidP="009C024A">
      <w:pPr>
        <w:pStyle w:val="BodyText"/>
        <w:spacing w:before="8" w:line="218" w:lineRule="auto"/>
        <w:ind w:left="100"/>
        <w:rPr>
          <w:rFonts w:ascii="Times New Roman" w:hAnsi="Times New Roman" w:cs="Times New Roman"/>
          <w:lang w:val="en-US"/>
        </w:rPr>
      </w:pPr>
      <w:r w:rsidRPr="009C024A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9C024A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9C024A" w:rsidRPr="009C024A" w:rsidRDefault="009C024A" w:rsidP="009C024A">
      <w:pPr>
        <w:pStyle w:val="BodyText"/>
        <w:spacing w:before="11"/>
        <w:ind w:left="0"/>
        <w:rPr>
          <w:rFonts w:ascii="Times New Roman" w:hAnsi="Times New Roman" w:cs="Times New Roman"/>
          <w:sz w:val="19"/>
          <w:lang w:val="en-US"/>
        </w:rPr>
      </w:pPr>
    </w:p>
    <w:p w:rsidR="009C024A" w:rsidRDefault="009C024A" w:rsidP="009C024A">
      <w:pPr>
        <w:pStyle w:val="BodyText"/>
        <w:spacing w:before="1" w:line="218" w:lineRule="auto"/>
        <w:ind w:left="100"/>
        <w:rPr>
          <w:rFonts w:ascii="Times New Roman" w:eastAsiaTheme="minorEastAsia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/>
        </w:rPr>
        <w:t>Kids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C024A" w:rsidRPr="00DC5549" w:rsidRDefault="00571D8B" w:rsidP="009C024A">
      <w:pPr>
        <w:pStyle w:val="BodyText"/>
        <w:spacing w:before="1" w:line="218" w:lineRule="auto"/>
        <w:ind w:left="100"/>
        <w:rPr>
          <w:rFonts w:ascii="Times New Roman" w:hAnsi="Times New Roman" w:cs="Times New Roman"/>
        </w:rPr>
      </w:pPr>
      <w:hyperlink r:id="rId11">
        <w:r w:rsidR="009C024A">
          <w:rPr>
            <w:rFonts w:ascii="Times New Roman" w:hAnsi="Times New Roman" w:cs="Times New Roman"/>
          </w:rPr>
          <w:t>www.kidshealth.org</w:t>
        </w:r>
      </w:hyperlink>
    </w:p>
    <w:p w:rsidR="009C024A" w:rsidRDefault="009C024A" w:rsidP="009C024A">
      <w:pPr>
        <w:spacing w:line="218" w:lineRule="auto"/>
        <w:rPr>
          <w:rFonts w:ascii="Times New Roman" w:eastAsiaTheme="minorEastAsia" w:hAnsi="Times New Roman" w:cs="Times New Roman"/>
          <w:lang w:eastAsia="zh-CN"/>
        </w:rPr>
      </w:pPr>
    </w:p>
    <w:p w:rsidR="009C024A" w:rsidRDefault="001F5CFC" w:rsidP="009C024A">
      <w:pPr>
        <w:pStyle w:val="BodyText"/>
        <w:spacing w:before="79" w:line="218" w:lineRule="auto"/>
        <w:ind w:left="100" w:right="9"/>
        <w:rPr>
          <w:rFonts w:ascii="Times New Roman" w:eastAsiaTheme="minorEastAsia" w:hAnsi="Times New Roman" w:cs="Times New Roman"/>
          <w:lang w:eastAsia="zh-CN"/>
        </w:rPr>
      </w:pPr>
      <w:r w:rsidRPr="00DC5549">
        <w:rPr>
          <w:rFonts w:ascii="Times New Roman" w:hAnsi="Times New Roman" w:cs="Times New Roman"/>
        </w:rPr>
        <w:br w:type="column"/>
      </w:r>
    </w:p>
    <w:p w:rsidR="009C024A" w:rsidRPr="00DC5549" w:rsidRDefault="009C024A" w:rsidP="009C024A">
      <w:pPr>
        <w:pStyle w:val="BodyText"/>
        <w:spacing w:before="79" w:line="218" w:lineRule="auto"/>
        <w:ind w:left="100" w:right="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9C024A" w:rsidRPr="009C024A" w:rsidRDefault="009C024A" w:rsidP="009C024A">
      <w:pPr>
        <w:pStyle w:val="BodyText"/>
        <w:spacing w:before="79" w:line="218" w:lineRule="auto"/>
        <w:ind w:left="100" w:right="2571"/>
        <w:rPr>
          <w:rFonts w:ascii="Times New Roman" w:eastAsiaTheme="minorEastAsia" w:hAnsi="Times New Roman" w:cs="Times New Roman"/>
          <w:lang w:eastAsia="zh-CN"/>
        </w:rPr>
      </w:pPr>
    </w:p>
    <w:p w:rsidR="00B30D70" w:rsidRPr="00DC5549" w:rsidRDefault="001F5CFC" w:rsidP="009C024A">
      <w:pPr>
        <w:pStyle w:val="BodyText"/>
        <w:spacing w:before="79" w:line="218" w:lineRule="auto"/>
        <w:ind w:left="100" w:right="2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Administración de Alimentos y Medicamentos de los EE. 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B30D70" w:rsidRPr="00DC5549" w:rsidSect="00B662D4">
      <w:type w:val="continuous"/>
      <w:pgSz w:w="12240" w:h="15840"/>
      <w:pgMar w:top="420" w:right="720" w:bottom="920" w:left="740" w:header="720" w:footer="720" w:gutter="0"/>
      <w:cols w:num="2" w:space="720" w:equalWidth="0">
        <w:col w:w="3807" w:space="1533"/>
        <w:col w:w="5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D4" w:rsidRDefault="00245AD4">
      <w:r>
        <w:separator/>
      </w:r>
    </w:p>
  </w:endnote>
  <w:endnote w:type="continuationSeparator" w:id="0">
    <w:p w:rsidR="00245AD4" w:rsidRDefault="0024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UniversLTStd-LightC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">
    <w:altName w:val="Times New Roman"/>
    <w:charset w:val="00"/>
    <w:family w:val="roman"/>
    <w:pitch w:val="variable"/>
  </w:font>
  <w:font w:name="UniversLTStd-LightCnObl">
    <w:altName w:val="UniversLTStd-LightCnObl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70" w:rsidRDefault="00571D8B">
    <w:pPr>
      <w:pStyle w:val="BodyText"/>
      <w:spacing w:line="14" w:lineRule="auto"/>
      <w:ind w:left="0"/>
      <w:rPr>
        <w:sz w:val="20"/>
      </w:rPr>
    </w:pPr>
    <w:r>
      <w:pict>
        <v:line id="Line 5" o:spid="_x0000_s2050" style="position:absolute;z-index:-3976;visibility:visible;mso-position-horizontal-relative:page;mso-position-vertical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9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J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8AHfeB4CAABCBAAADgAAAAAAAAAAAAAAAAAuAgAAZHJzL2Uyb0RvYy54bWxQSwEC&#10;LQAUAAYACAAAACEAibMszN0AAAANAQAADwAAAAAAAAAAAAAAAAB4BAAAZHJzL2Rvd25yZXYueG1s&#10;UEsFBgAAAAAEAAQA8wAAAIIFAAAAAA==&#10;" strokecolor="#00539b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5pt;margin-top:750.7pt;width:204.9pt;height:14.25pt;z-index:-3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style="mso-next-textbox:#Text Box 1" inset="0,0,0,0">
            <w:txbxContent>
              <w:p w:rsidR="00B30D70" w:rsidRPr="009C024A" w:rsidRDefault="001F5CFC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  <w:lang w:val="en-US"/>
                  </w:rPr>
                </w:pPr>
                <w:r w:rsidRPr="009C024A">
                  <w:rPr>
                    <w:rFonts w:ascii="UniversLTStd-LightCnObl" w:hAnsi="UniversLTStd-LightCnObl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D4" w:rsidRDefault="00245AD4">
      <w:r>
        <w:separator/>
      </w:r>
    </w:p>
  </w:footnote>
  <w:footnote w:type="continuationSeparator" w:id="0">
    <w:p w:rsidR="00245AD4" w:rsidRDefault="0024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10B50"/>
    <w:multiLevelType w:val="hybridMultilevel"/>
    <w:tmpl w:val="48E6FBD2"/>
    <w:lvl w:ilvl="0" w:tplc="69E0235C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w w:val="100"/>
        <w:sz w:val="22"/>
        <w:szCs w:val="22"/>
        <w:lang w:val="es-US" w:eastAsia="en-US" w:bidi="en-US"/>
      </w:rPr>
    </w:lvl>
    <w:lvl w:ilvl="1" w:tplc="FBFA49E0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20"/>
        <w:w w:val="100"/>
        <w:sz w:val="22"/>
        <w:szCs w:val="22"/>
        <w:lang w:val="es-US" w:eastAsia="en-US" w:bidi="en-US"/>
      </w:rPr>
    </w:lvl>
    <w:lvl w:ilvl="2" w:tplc="A5ECE058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303CF1DE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92820C80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0E0E7A9A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D4B26438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12C8F342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C62862C6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0D70"/>
    <w:rsid w:val="00014501"/>
    <w:rsid w:val="00121280"/>
    <w:rsid w:val="001F5CFC"/>
    <w:rsid w:val="00201E45"/>
    <w:rsid w:val="0021566C"/>
    <w:rsid w:val="00245AD4"/>
    <w:rsid w:val="002E61C5"/>
    <w:rsid w:val="003453A0"/>
    <w:rsid w:val="00571D8B"/>
    <w:rsid w:val="007223BE"/>
    <w:rsid w:val="00967560"/>
    <w:rsid w:val="009C024A"/>
    <w:rsid w:val="00A21BE2"/>
    <w:rsid w:val="00B30D70"/>
    <w:rsid w:val="00B662D4"/>
    <w:rsid w:val="00D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A7835E-FDF8-4778-8D83-D6B6B240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62D4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B662D4"/>
    <w:pPr>
      <w:spacing w:before="111" w:line="268" w:lineRule="exact"/>
      <w:ind w:left="10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62D4"/>
    <w:pPr>
      <w:ind w:left="400"/>
    </w:pPr>
  </w:style>
  <w:style w:type="paragraph" w:styleId="ListParagraph">
    <w:name w:val="List Paragraph"/>
    <w:basedOn w:val="Normal"/>
    <w:uiPriority w:val="1"/>
    <w:qFormat/>
    <w:rsid w:val="00B662D4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B662D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549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DC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549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NANN18_Discharge_Step9.rev2.indd</vt:lpstr>
      <vt:lpstr>NANN18_Discharge_Step9.rev2.indd</vt:lpstr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Andie Bernard</cp:lastModifiedBy>
  <cp:revision>4</cp:revision>
  <dcterms:created xsi:type="dcterms:W3CDTF">2018-04-27T19:58:00Z</dcterms:created>
  <dcterms:modified xsi:type="dcterms:W3CDTF">2018-05-02T18:06:00Z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